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00148">
      <w:pPr>
        <w:spacing w:before="140" w:line="224" w:lineRule="auto"/>
        <w:ind w:right="956"/>
        <w:rPr>
          <w:rFonts w:ascii="宋体" w:hAnsi="宋体" w:eastAsia="宋体" w:cs="宋体"/>
          <w:b/>
          <w:bCs/>
          <w:spacing w:val="-6"/>
          <w:sz w:val="43"/>
          <w:szCs w:val="43"/>
        </w:rPr>
      </w:pPr>
    </w:p>
    <w:p w14:paraId="42BD99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line="221" w:lineRule="auto"/>
        <w:ind w:left="3253" w:right="0" w:hanging="3253" w:hangingChars="900"/>
        <w:jc w:val="both"/>
        <w:textAlignment w:val="baseline"/>
        <w:rPr>
          <w:rFonts w:hint="default" w:ascii="黑体" w:hAnsi="黑体" w:eastAsia="黑体" w:cs="黑体"/>
          <w:b/>
          <w:bCs/>
          <w:snapToGrid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snapToGrid/>
          <w:color w:val="000000"/>
          <w:kern w:val="0"/>
          <w:sz w:val="36"/>
          <w:szCs w:val="36"/>
          <w:lang w:val="en-US" w:eastAsia="zh-CN" w:bidi="ar-SA"/>
        </w:rPr>
        <w:t>中共中央国务院关于加快经济社会发展全面绿色转型的意见</w:t>
      </w:r>
    </w:p>
    <w:p w14:paraId="7AE5A569">
      <w:pPr>
        <w:pStyle w:val="2"/>
        <w:spacing w:before="70" w:line="222" w:lineRule="auto"/>
        <w:ind w:firstLine="2580" w:firstLineChars="600"/>
        <w:rPr>
          <w:rFonts w:ascii="Arial"/>
          <w:sz w:val="21"/>
        </w:rPr>
      </w:pPr>
      <w:r>
        <w:rPr>
          <w:spacing w:val="35"/>
          <w:sz w:val="36"/>
          <w:szCs w:val="36"/>
        </w:rPr>
        <w:t>(2024年7月31日)</w:t>
      </w:r>
    </w:p>
    <w:p w14:paraId="1177F5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推动经济社会发展绿色化、低碳化，是新时代党治国理政新理念新实践的重要标志，是实现高质量发展的关键环节，是解决我国资源环境生态问题的基础之策，是建设人与自然和谐共生现代化的内在要求。为加快经 济社会发展全面绿色转型，现提出如下意见。</w:t>
      </w:r>
    </w:p>
    <w:p w14:paraId="6C1B21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0"/>
          <w:sz w:val="32"/>
          <w:szCs w:val="32"/>
          <w:lang w:val="en-US" w:eastAsia="zh-CN"/>
        </w:rPr>
        <w:t>一、总体要求</w:t>
      </w:r>
    </w:p>
    <w:p w14:paraId="450B57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坚持以习近平新时代中国特色社会主义思想为指导，深入贯彻党的二十大和二十届二中、三中全会精神，全面贯彻习近平经济思想、习近平生态文明思想，完整准确全面贯彻新发展理念，加快构建新发展格局，坚定不移走生态优先、节约集约、绿色低碳高质量发展道路，以碳达峰碳中和工作为引领，协同推进降碳、减污、扩绿、增长，深化生态文明体制改革，健全绿色低碳发展机制，加快经济社会发展全面绿色转型，形成节约资源和保护环境的空间格局、产业结构、生产方式、生活方式，全面推进美丽中国建设，加快推进人与自然和谐共生的现代化。工作中要做到：</w:t>
      </w:r>
    </w:p>
    <w:p w14:paraId="71FF9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——坚持全面转型。牢固树立绿水青山就是金山银山的理念，将绿色转型的要求融入经济社会发展全局， 全方位、全领域、全地域推进绿色转型，构建人与自然 生命共同体。</w:t>
      </w:r>
    </w:p>
    <w:p w14:paraId="6F5F6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——坚持协同转型。充分考虑不同地区、不同行业的发展实际，坚持统筹推进与重点突破相结合，科学设定绿色转型的时间表、路线图、施工图，鼓励有条件的地区和行业先行探索。</w:t>
      </w:r>
    </w:p>
    <w:p w14:paraId="733D8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——坚持创新转型。强化支撑绿色转型的科技创新、政策制度创新、商业模式创新，推进绿色低碳科技革命，因地制宜发展新质生产力，完善生态文明制度体 系，为绿色转型提供更强创新动能和制度保障。</w:t>
      </w:r>
    </w:p>
    <w:p w14:paraId="4E62A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——坚持安全转型。统筹处理好发展和减排、整体和局部、当前和长远、政府和市场的关系，妥善防范化解绿色转型面临的内外部风险挑战，切实保障粮食能源安全、产业链供应链安全，更好保障人民群众生产生活。</w:t>
      </w:r>
    </w:p>
    <w:p w14:paraId="2C6A4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主要目标是：到2030年，重点领域绿色转型取得积极进展，绿色生产方式和生活方式基本形成，减污降碳协同能力显著增强，主要资源利用效率进一步提升，支持绿色发展的政策和标准体系更加完善，经济社会发展全面绿色转型取得显著成效。到2035年，绿色低碳循环发展经济体系基本建立，绿色生产方式和生活方式广泛形成，减污降碳协同增效取得显著进展，主要资源利用 效率达到国际先进水平，经济社会发展全面进入绿色低碳轨道，碳排放达峰后稳中有降，美丽中国目标基本实现。</w:t>
      </w:r>
    </w:p>
    <w:p w14:paraId="6AF92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0"/>
          <w:sz w:val="32"/>
          <w:szCs w:val="32"/>
          <w:lang w:val="en-US" w:eastAsia="zh-CN"/>
        </w:rPr>
        <w:t>二、构建绿色低碳高质量发展空间格局</w:t>
      </w:r>
    </w:p>
    <w:p w14:paraId="5A072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一)优化国土空间开发保护格局。健全全国统一、责权清晰、科学高效的国土空间规划体系，严守耕地和永久基本农田、生态保护红线、城镇开发边界三条控制线，优化各类空间布局。健全主体功能区制度体系，推进主体功能综合布局，细化主体功能区划分，完善差异化政策。加快建设以国家公园为主体、自然保护区为基础、各类自然公园为补充的自然保护地体系。加强生态环境分区管控。健全海洋资源开发保护制度，系统谋划海洋开发利用，推进陆海协同可持续发展。</w:t>
      </w:r>
    </w:p>
    <w:p w14:paraId="12CA5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(二)打造绿色发展高地。加强区域绿色发展协作，统筹推进协调发展和协同转型，打造绿色低碳高质 量发展的增长极和动力源。推进京津冀协同发展，完善生态环境协同保护机制，支持雄安新区建设成为绿色发展城市典范。持续推进长江经济带共抓大保护，探索生态优先、绿色发展新路径。深入推进粤港澳大湾区建设和长三角一体化发展，打造世界级绿色低碳产业集群。推动海南自由贸易港建设、黄河流域生态保护和高质量 发展。建设美丽中国先行区。持续加大对资源型地区和 革命老区绿色转型的支持力度，培育发展绿色低碳产 业。</w:t>
      </w:r>
    </w:p>
    <w:p w14:paraId="16FD8E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三、加快产业结构绿色低碳转型</w:t>
      </w:r>
    </w:p>
    <w:p w14:paraId="773B5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(三)推动传统产业绿色低碳改造升级。大力推动 钢铁、有色、石化、化工、建材、造纸、印染等行业绿 色低碳转型，推广节能低碳和清洁生产技术装备，推进 工艺流程更新升级。优化产能规模和布局，持续更新土 地、环境、能效、水效和碳排放等约束性标准，以国家 标准提升引领传统产业优化升级，建立健全产能退出机 制。合理提高新建、改扩建项目资源环境准入门槛，坚 决遏制高耗能、高排放、低水平项目盲目上马。</w:t>
      </w:r>
    </w:p>
    <w:p w14:paraId="75B3B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(四)大力发展绿色低碳产业。加快发展战略性新 兴产业，建设绿色制造体系和服务体系，不断提升绿色 低碳产业在经济总量中的比重。加快培育有竞争力的绿 色低碳企业，打造一批领军企业和专精特新中小企业。 大力推广合同能源管理、合同节水管理、环境污染第三 方治理等模式和以环境治理效果为导向的环境托管服 务。推动文化产业高质量发展，促进文化和旅游深度融合发展。积极鼓励绿色低碳导向的新产业、新业态、新 商业模式加快发展。到2030年，节能环保产业规模达到 15万亿元左右。</w:t>
      </w:r>
    </w:p>
    <w:p w14:paraId="68091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(五)加快数字化绿色化协同转型发展。推进产业 数字化智能化同绿色化的深度融合，深化人工智能、大 数据、云计算、工业互联网等在电力系统、工农业生 产、交通运输、建筑建设运行等领域的应用，实现数字 技术赋能绿色转型。推动各类用户“上云、用数、赋 智”,支持企业用数智技术、绿色技术改造提升传统产 业。推动绿色低碳数字基础设施建设，推进既有设施节 能降碳改造，逐步淘汰“老旧小散”设施。引导数字科 技企业绿色低碳发展，助力上下游企业提高减碳能力。 探索建立环境污染和气象灾害高效监测、主动预警、科 学分析、智能决策系统。推进实景三维中国建设与时空 信息赋能应用。</w:t>
      </w:r>
    </w:p>
    <w:p w14:paraId="529B1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0"/>
          <w:sz w:val="32"/>
          <w:szCs w:val="32"/>
          <w:lang w:val="en-US" w:eastAsia="zh-CN"/>
        </w:rPr>
        <w:t>四 、稳妥推进能源绿色低碳转型</w:t>
      </w:r>
    </w:p>
    <w:p w14:paraId="300203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(六)加强化石能源清洁高效利用。加强能源产供 储销体系建设，坚持先立后破，推进非化石能源安全可 靠有序替代化石能源，持续优化能源结构，加快规划建 设新型能源体系。坚决控制化石能源消费，深入推动煤 炭清洁高效利用，“十四五”时期严格合理控制煤炭消 费增长，接下来5年逐步减少，在保障能源安全供应的前提下，重点区域继续实施煤炭消费总量控制，积极有 序推进散煤替代。加快现役煤电机组节能降碳改造、灵 活性改造、供热改造“三改联动”,合理规划建设保障 电力系统安全所必需的调节性、支撑性煤电。加大油气 资源勘探开发和增储上产力度，加快油气勘探开发与新 能源融合发展。推进二氧化碳捕集利用与封存项目建 设。</w:t>
      </w:r>
    </w:p>
    <w:p w14:paraId="75D8EC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(七)大力发展非化石能源。加快西北风电光伏、 西南水电、海上风电、沿海核电等清洁能源基地建设， 积极发展分布式光伏、分散式风电，因地制宜开发生物 质能、地热能、海洋能等新能源，推进氢能“制储输 用”全链条发展。统筹水电开发和生态保护，推进水风 光一体化开发。积极安全有序发展核电，保持合理布局 和平稳建设节奏。到2030年，非化石能源消费比重提高 到25%左右。</w:t>
      </w:r>
    </w:p>
    <w:p w14:paraId="330AA9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(八)加快构建新型电力系统。加强清洁能源基 地、调节性资源和输电通道在规模能力、空间布局、建 设节奏等方面的衔接协同，鼓励在气源可落实、气价可 承受地区布局天然气调峰电站，科学布局抽水蓄能、新 型储能、光热发电，提升电力系统安全运行和综合调节 能力。建设智能电网，加快微电网、虚拟电厂、源网荷 储一体化项目建设。加强电力需求侧管理。深化电力体制改革，进一步健全适应新型电力系统的体制机制。到 2030年，抽水蓄能装机容量超过1.2亿千瓦。</w:t>
      </w:r>
    </w:p>
    <w:p w14:paraId="234A6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0"/>
          <w:sz w:val="32"/>
          <w:szCs w:val="32"/>
          <w:lang w:val="en-US" w:eastAsia="zh-CN"/>
        </w:rPr>
        <w:t>五、推进交通运输绿色转型</w:t>
      </w:r>
    </w:p>
    <w:p w14:paraId="083F1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(九)优化交通运输结构。构建绿色高效交通运输 体系，完善国家铁路、公路、水运网络，推动不同运输 方式合理分工、有效衔接，降低空载率和不合理客货运 周转量。大力推进多式联运“一单制”、“一箱制”发 展，加快货运专用铁路和内河高等级航道网建设，推进 主要港口、大型工矿企业和物流园区铁路专用线建设， 提高绿色集疏运比例，持续提高大宗货物的铁路、水路 运输比重。优化民航航路航线，提升机场运行电动化智 能化水平。</w:t>
      </w:r>
    </w:p>
    <w:p w14:paraId="1212A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(十)建设绿色交通基础设施。提升新建车站、机 场、码头、高速公路设施绿色化智能化水平，推进既有 交通基础设施节能降碳改造提升，建设一批低碳(近零 碳)车站、机场、码头、高速公路服务区，因地制宜发 展高速公路沿线光伏。完善充(换)电站、加氢(醇) 站、岸电等基础设施网络，加快建设城市智慧交通管理 系统。完善城乡物流配送体系，推动配送方式绿色智能 转型。深入实施城市公共交通优先发展战略，提升公共 交通服务水平。加强人行步道和自行车专用道等城市慢 行系统建设。</w:t>
      </w:r>
    </w:p>
    <w:p w14:paraId="1C70E1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(十一)推广低碳交通运输工具。大力推广新能源 汽车，推动城市公共服务车辆电动化替代。推动船舶、 航空器、非道路移动机械等采用清洁动力，加快淘汰老 旧运输工具，推进零排放货运，加强可持续航空燃料研 发应用，鼓励净零排放船用燃料研发生产应用。到2030 年，营运交通工具单位换算周转量碳排放强度比2020年 下降9.5%左右。到2035年，新能源汽车成为新销售车辆 的主流。</w:t>
      </w:r>
    </w:p>
    <w:p w14:paraId="05F0E7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0"/>
          <w:sz w:val="32"/>
          <w:szCs w:val="32"/>
          <w:lang w:val="en-US" w:eastAsia="zh-CN"/>
        </w:rPr>
        <w:t>六、推进城乡建设发展绿色转型</w:t>
      </w:r>
    </w:p>
    <w:p w14:paraId="66F718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(十二)推行绿色规划建设方式。在城乡的规划、 建设、治理各环节全面落实绿色转型要求。倡导绿色低 碳规划设计理念，严守城镇开发边界，控制新增建设用 地过快增长，保护和修复绿地、水域、湿地等生态空 间，合理规划噪声敏感建筑物集中区域。推进气候适应 型城市建设，增强城乡气候韧性。推广绿色建造方式， 优先选用绿色建材，深化扬尘污染综合治理。</w:t>
      </w:r>
    </w:p>
    <w:p w14:paraId="049CFD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(十三)大力发展绿色低碳建筑。建立建筑能效等 级制度。提升新建建筑中星级绿色建筑比例，推动超低 能耗建筑规模化发展。加快既有建筑和市政基础设施节 能节水降碳改造，推广先进高效照明、空调、电梯等设 备。优化建筑用能结构，推进建筑光伏一体化建设，推 动“光储直柔”技术应用，发展清洁低碳供暖。</w:t>
      </w:r>
    </w:p>
    <w:p w14:paraId="06778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(十四)推动农业农村绿色发展。实施农业农村减 排固碳行动，优化种养结构，推广优良作物畜禽品种和 绿色高效栽培养殖技术，推进化肥、农药等农业投入品 减量增效。建立健全秸秆、农膜、农药包装废弃物、畜 禽粪污等农业废弃物收集利用处理体系，加强秸秆禁烧 管控。深入推进农村人居环境整治提升，培育乡村绿色 发展新产业新业态。因地制宜开发利用可再生能源，有 序推进农村地区清洁取暖。</w:t>
      </w:r>
    </w:p>
    <w:p w14:paraId="20B233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0"/>
          <w:sz w:val="32"/>
          <w:szCs w:val="32"/>
          <w:lang w:val="en-US" w:eastAsia="zh-CN"/>
        </w:rPr>
        <w:t>七、实施全面节约战略</w:t>
      </w:r>
    </w:p>
    <w:p w14:paraId="36CD3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(十五)大力推进节能降碳增效。高水平、高质量 抓好节能工作，推动重点行业节能降碳改造，加快设备 产品更新换代升级。构建碳排放统计核算体系，加强固 定资产投资项目节能审查，探索开展项目碳排放评价， 严把新上项目能耗和碳排放关。推动企业建立健全节能 降碳管理机制，推广节能降碳“诊断+改造”模式，强化 节能监察。</w:t>
      </w:r>
    </w:p>
    <w:p w14:paraId="5F2A3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(十六)加强资源节约集约高效利用。完善资源总 量管理和全面节约制度，加强水、粮食、土地、矿产等 各类资源的全过程管理和全链条节约。落实水资源刚性 约束制度，发展节水产业，加强非常规水源利用，建设 节水型社会。落实反食品浪费法，健全粮食和食物节约长效机制，开展粮食节约行动。落实最严格的耕地保护 制度和土地节约集约利用制度，推广节地技术和节地模 式，优化存量土地开发利用，提升海域空间利用效率。 加强矿产资源勘查、保护和合理开发，提高开采效率， 加强低品位资源利用。</w:t>
      </w:r>
    </w:p>
    <w:p w14:paraId="34DB1D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(十七)大力发展循环经济。深入推进循环经济助 力降碳行动，推广资源循环型生产模式，大力发展资源 循环利用产业，推动再制造产业高质量发展，提高再生 材料和产品质量，扩大对原生资源的替代规模。推进生 活垃圾分类，提升资源化利用率。健全废弃物循环利用 体系，强化废弃物分类处置和回收能力，提升再生利用 规模化、规范化、精细化水平。到2030年，大宗固体废 弃物年利用量达到45亿吨左右，主要资源产出率比2020 年提高45%左右。</w:t>
      </w:r>
    </w:p>
    <w:p w14:paraId="45259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0"/>
          <w:sz w:val="32"/>
          <w:szCs w:val="32"/>
          <w:lang w:val="en-US" w:eastAsia="zh-CN"/>
        </w:rPr>
        <w:t>八、推动消费模式绿色转型</w:t>
      </w:r>
    </w:p>
    <w:p w14:paraId="4E7E95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(十八)推广绿色生活方式。大力倡导简约适度、 绿色低碳、文明健康的生活理念和消费方式，将绿色理 念和节约要求融入市民公约、村规民约、学生守则、团 体章程等社会规范，增强全民节约意识、环保意识、生 态意识。开展绿色低碳全民行动，引导公众节约用水用 电、反对铺张浪费、推广“光盘行动”、抵制过度包 装、减少一次性用品使用，引导公众优先选择公共交通、步行、自行车等绿色出行方式，广泛开展爱国卫生 运动，推动解决噪声、油烟、恶臭等群众身边的环境问 题，形成崇尚生态文明的社会氛围。</w:t>
      </w:r>
    </w:p>
    <w:p w14:paraId="02F8F7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(十九)加大绿色产品供给。引导企业开展绿色设 计、选择绿色材料、推行绿色制造、采用绿色包装、开 展绿色运输、回收利用资源，降低产品全生命周期能源 资源消耗和生态环境影响。建立健全绿色产品设计、采 购、制造标准规范，加强绿色产品认证与标识体系建 设，完善能效、水效标识制度，建立产品碳足迹管理体 系和产品碳标识认证制度。加强绿色产品和服务认证管 理，完善认证机构监管机制，培育具有国际影响力的绿 色认证机构。</w:t>
      </w:r>
    </w:p>
    <w:p w14:paraId="10D00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(二十)积极扩大绿色消费。健全绿色消费激励机 制。优化政府绿色采购政策，拓展绿色产品采购范围和 规模，适时将碳足迹要求纳入政府采购。引导企业执行 绿色采购指南，鼓励有条件的企业建立绿色供应链，带 动上下游企业协同转型。支持有条件的地区通过发放消 费券、绿色积分等途径，鼓励企业采取“以旧换新”等 方式，引导消费者购买绿色产品。开展新能源汽车和绿 色智能家电、节水器具、节能灶具、绿色建材下乡活 动，加强配套设施建设和售后服务保障。鼓励用户扩大 绿色能源消费。</w:t>
      </w:r>
    </w:p>
    <w:p w14:paraId="1546A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0"/>
          <w:sz w:val="32"/>
          <w:szCs w:val="32"/>
          <w:lang w:val="en-US" w:eastAsia="zh-CN"/>
        </w:rPr>
        <w:t>九、发挥科技创新支撑作用</w:t>
      </w:r>
    </w:p>
    <w:p w14:paraId="0EEFD8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(二十一)强化应用基础研究。建立前沿引领技 术、颠覆性技术的预测、发现、评估和预警机制，适度 超前布局国家重大科研基础设施，组建一批全国重点实 验室和国家创新平台，实施一批国家重大前沿科技项 目，着力加强绿色低碳领域应用基础研究，激发颠覆性 技术创新。创新人才培养模式，优化高校学科专业设 置，夯实绿色转型智力基础。</w:t>
      </w:r>
    </w:p>
    <w:p w14:paraId="4798C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(二十二)加快关键技术研发。推进绿色低碳科技 自立自强，将绿色转型相关技术作为国家重点研发计划 相关重点专项的重要支持方向，聚焦能源绿色低碳转 型、低碳零碳工艺流程再造、新型电力系统、二氧化碳 捕集利用与封存、资源节约集约与循环利用、新污染物 治理等领域，统筹强化关键核心技术攻关。强化企业科 技创新主体地位，支持龙头企业牵头组建关键核心技术 攻关联合体，加大对中小企业绿色低碳技术研发的资助 力度，鼓励各类所有制企业参与相关国家科技计划。</w:t>
      </w:r>
    </w:p>
    <w:p w14:paraId="4CE54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(二十三)开展创新示范推广。发挥创新对绿色转 型的关键引领作用。开展多层次试点，推进工业、能 源、交通运输、城乡建设、农业等重点领域减污降碳协 同增效。实施绿色低碳先进技术示范工程，加快.生讲活 用技术示范应用和推广。完善绿色低碳技术评体系和科技创新服务平台，探索有利于绿色低碳新产业 新业态发展的商业模式，加强绿色低碳技术知识产权创 造、保护、运用，激发全社会创新活力。</w:t>
      </w:r>
    </w:p>
    <w:p w14:paraId="027A1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0"/>
          <w:sz w:val="32"/>
          <w:szCs w:val="32"/>
          <w:lang w:val="en-US" w:eastAsia="zh-CN"/>
        </w:rPr>
        <w:t>十、完善绿色转型政策体系</w:t>
      </w:r>
    </w:p>
    <w:p w14:paraId="31897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(二十四)健全绿色转型财税政策。积极构建有利 于促进绿色低碳发展和资源高效利用的财税政策体系， 支持新型能源体系建设、传统行业改造升级、绿色低碳 科技创新、能源资源节约集约利用和绿色低碳生活方式 推广等领域工作。落实环境保护、节能节水、资源综合 利用、新能源和清洁能源车船税收优惠。完善绿色税 制，全面推行水资源费改税，完善环境保护税征收体 系，研究支持碳减排相关税收政策。</w:t>
      </w:r>
    </w:p>
    <w:p w14:paraId="0AFF3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(二十五)丰富绿色转型金融工具。延长碳减排支 持工具实施年限至2027年年末。研究制定转型金融标 准，为传统行业领域绿色低碳转型提供合理必要的金融 支持。鼓励银行在合理评估风险基础上引导信贷资源绿 色化配置，有条件的地方可通过政府性融资担保机构支 持绿色信贷发展。鼓励地方政府通过多种方式降低绿色 债券融资成本。积极发展绿色股权融资、绿色融资租 赁、绿色信托等金融工具，有序推进碳金融产品和衍生 工具创新。发展绿色保险，探索建立差别化保险费率机 制。</w:t>
      </w:r>
    </w:p>
    <w:p w14:paraId="2617C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(二十六)优化绿色转型投资机制。创新和优化投 资机制，鼓励各类资本提升绿色低碳领域投资比例。中 央预算内投资对绿色低碳先进技术示范、重点行业节能 降碳、资源高效循环利用、环境基础设施建设等领域重 点项目积极予以支持。引导和规范社会资本参与绿色低 碳项目投资、建设、运营，鼓励社会资本以市场化方式 设立绿色低碳产业投资基金。支持符合条件的新能源、 生态环境保护等绿色转型相关项目发行基础设施领域不 动产投资信托基金(REITs)。</w:t>
      </w:r>
    </w:p>
    <w:p w14:paraId="5F76F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(二十七)完善绿色转型价格政策。深化电力价格 改革，完善鼓励灵活性电源参与系统调节的价格机制， 实行煤电容量电价机制，研究建立健全新型储能价格形 成机制，健全阶梯电价制度和分时电价政策，完善高耗 能行业阶梯电价制度。完善居民阶梯水价、非居民用水 及特种用水超定额累进加价政策，推进农业水价综合改 革。支持地方完善收费模式，推进生活垃圾处理收费方 式改革，建立城镇生活垃圾分类和减量激励机制。</w:t>
      </w:r>
    </w:p>
    <w:p w14:paraId="41E3C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(二十八)健全绿色转型市场化机制。健全资源环 境要素市场化配置体系，完善交易制度规范及登记、出 让、转让、抵押等配套制度，探索基于资源环境权益的 融资工具。健全横向生态保护补偿机制，完善生态产品</w:t>
      </w: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3124200</wp:posOffset>
            </wp:positionH>
            <wp:positionV relativeFrom="page">
              <wp:posOffset>25400</wp:posOffset>
            </wp:positionV>
            <wp:extent cx="139700" cy="8890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01" cy="8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价值实现机制。推进全国碳排放权交易市场和温室气体 自愿减排交易市场建设，健全法规制度，适时有序扩大 交易行业范围。完善绿色电力证书交易制度，加强绿 电、绿证、碳交易等市场化机制的政策协同。</w:t>
      </w:r>
    </w:p>
    <w:p w14:paraId="1AC820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(二十九)构建绿色发展标准体系。建立碳达峰碳 中和标准体系，推进基础通用标准及碳减排、碳清除相 关标准制定修订，制定企业碳排放和产品碳足迹核算、 报告、核查等标准。加快节能标准更新升级，提升重点 产品能耗限额要求，扩大能耗限额标准覆盖范围。完善 可再生能源标准体系和工业绿色低碳标准体系，建立健 全氢能“制储输用”标准。</w:t>
      </w:r>
    </w:p>
    <w:p w14:paraId="3D7F8C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0"/>
          <w:sz w:val="32"/>
          <w:szCs w:val="32"/>
          <w:lang w:val="en-US" w:eastAsia="zh-CN"/>
        </w:rPr>
        <w:t>十一、加强绿色转型国际合作</w:t>
      </w:r>
    </w:p>
    <w:p w14:paraId="07852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(三十)参与引领全球绿色转型进程。秉持人类命 运共同体理念，积极参与应对气候变化、海洋污染治 理、生物多样性保护、塑料污染治理等领域国际规则制 定，推动构建公平合理、合作共赢的全球环境气候治理 体系。推动落实全球发展倡议，加强南南合作以及同周 边国家合作，在力所能及范围内为发展中国家提供支 持。</w:t>
      </w:r>
    </w:p>
    <w:p w14:paraId="5D610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(三十一)加强政策交流和务实合作。拓展多双边 对话合作渠道，加强绿色发展领域的多边合作平台建 设，大力宣传中国绿色转型成效，积极借鉴国际经验。加强绿色投资和贸易合作，推进“绿色丝绸之路”建 设，深化与有关国家务实合作，提高境外项目环境可持 续性，鼓励绿色低碳产品进出口。加强绿色技术合作， 鼓励高校、科研机构与外方开展学术交流，积极参与国 际大科学工程。加强绿色标准与合格评定国际合作，参 与相关国际标准制定修订，推动与主要贸易伙伴在碳足 迹等规则方面衔接互认。</w:t>
      </w:r>
    </w:p>
    <w:p w14:paraId="3B5181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十二、组织实施</w:t>
      </w:r>
    </w:p>
    <w:p w14:paraId="16957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(三十二)坚持和加强党的全面领导。在党中央集 中统一领导下，加快推进经济社会发展全面绿色转型， 把党的领导贯彻到工作的全过程和各方面。各地区各部 门要明确本地区本部门绿色转型的重点任务，结合实际 抓好本意见贯彻落实。各相关单位、人民团体、社会组 织要积极推进本领域绿色转型工作。国家发展改革委要 加强统筹协调，会同有关部门建立能耗双控向碳排放双 控全面转型新机制，制定实施碳达峰碳中和综合评价考 核制度，科学开展考核，加强评价考核结果应用。重要 情况及时按程序向党中央、国务院请示报告。</w:t>
      </w:r>
    </w:p>
    <w:p w14:paraId="76EB63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(三十三)加强法治保障。各有关单位要加快推进 生态环境法典和能源法、节约能源法、电力法、煤炭 法、可再生能源法、循环经济促进法等法律法规制定修 订工作，研究制定应对气候变化和碳达峰碳中和专项法</w:t>
      </w:r>
    </w:p>
    <w:p w14:paraId="1FC3D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/>
        </w:rPr>
        <w:t>律。落实民法典绿色原则，引导民事主体节约能源资 源、保护生态环境。健全行政执法与刑事司法衔接机 制。依法开展生态环境损害赔偿诉讼、生态环境和资源 保护领域公益诉讼，完善生态环境损害赔偿和修复机 制。</w:t>
      </w:r>
    </w:p>
    <w:sectPr>
      <w:headerReference r:id="rId5" w:type="default"/>
      <w:footerReference r:id="rId6" w:type="default"/>
      <w:pgSz w:w="11860" w:h="17040"/>
      <w:pgMar w:top="10" w:right="1647" w:bottom="1831" w:left="1779" w:header="0" w:footer="15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DF41A">
    <w:pPr>
      <w:spacing w:before="1" w:line="177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F037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Y4ZWZmYjEwZmJhOTkxZDc4OWZkMWFkMzI4MjY5NzIifQ=="/>
  </w:docVars>
  <w:rsids>
    <w:rsidRoot w:val="00000000"/>
    <w:rsid w:val="5A2D4A25"/>
    <w:rsid w:val="644E6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7925</Words>
  <Characters>7995</Characters>
  <TotalTime>17</TotalTime>
  <ScaleCrop>false</ScaleCrop>
  <LinksUpToDate>false</LinksUpToDate>
  <CharactersWithSpaces>8284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2024-09-01T10:49:00Z</dcterms:created>
  <dc:creator>Kingsoft-PDF</dc:creator>
  <cp:lastModifiedBy>wjw</cp:lastModifiedBy>
  <dcterms:modified xsi:type="dcterms:W3CDTF">2024-09-01T03:08:06Z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2024-09-01T10:49:38Z</vt:filetime>
  </property>
  <property fmtid="{D5CDD505-2E9C-101B-9397-08002B2CF9AE}" pid="4" name="UsrData">
    <vt:lpwstr>66d3d63efefcfc00206a9426wl</vt:lpwstr>
  </property>
  <property fmtid="{D5CDD505-2E9C-101B-9397-08002B2CF9AE}" pid="5" name="KSOProductBuildVer">
    <vt:lpwstr>2052-12.1.0.17827</vt:lpwstr>
  </property>
  <property fmtid="{D5CDD505-2E9C-101B-9397-08002B2CF9AE}" pid="6" name="ICV">
    <vt:lpwstr>B187E7B2A2DE4435A8697AC6EC5DD83D_12</vt:lpwstr>
  </property>
</Properties>
</file>